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8" w:rsidRPr="0093096A" w:rsidRDefault="00E67318" w:rsidP="00E67318">
      <w:pPr>
        <w:pStyle w:val="2"/>
        <w:framePr w:w="16800" w:h="2838" w:hRule="exact" w:wrap="around" w:vAnchor="page" w:hAnchor="page" w:x="20" w:y="1402"/>
        <w:shd w:val="clear" w:color="auto" w:fill="auto"/>
        <w:tabs>
          <w:tab w:val="left" w:leader="underscore" w:pos="13450"/>
          <w:tab w:val="left" w:leader="underscore" w:pos="16470"/>
        </w:tabs>
        <w:spacing w:before="0" w:after="354" w:line="307" w:lineRule="exact"/>
        <w:ind w:left="10700" w:right="180" w:firstLine="2180"/>
        <w:rPr>
          <w:sz w:val="28"/>
          <w:szCs w:val="28"/>
        </w:rPr>
      </w:pPr>
      <w:r w:rsidRPr="0093096A">
        <w:rPr>
          <w:sz w:val="28"/>
          <w:szCs w:val="28"/>
        </w:rPr>
        <w:t xml:space="preserve">Приложение к Порядку формирования перечня налоговых расходов и оценки налоговых расходов </w:t>
      </w:r>
      <w:r>
        <w:rPr>
          <w:sz w:val="28"/>
          <w:szCs w:val="28"/>
        </w:rPr>
        <w:t>сельского поселения «Черемховское</w:t>
      </w:r>
      <w:r w:rsidRPr="00D327DA">
        <w:rPr>
          <w:sz w:val="28"/>
          <w:szCs w:val="28"/>
        </w:rPr>
        <w:t>»</w:t>
      </w:r>
      <w:r w:rsidRPr="0093096A">
        <w:rPr>
          <w:sz w:val="28"/>
          <w:szCs w:val="28"/>
        </w:rPr>
        <w:t xml:space="preserve">, утвержденного постановлением администрации </w:t>
      </w:r>
      <w:r>
        <w:rPr>
          <w:sz w:val="28"/>
          <w:szCs w:val="28"/>
        </w:rPr>
        <w:t>сельского поселения «Черемховское</w:t>
      </w:r>
      <w:r w:rsidRPr="00D327DA">
        <w:rPr>
          <w:sz w:val="28"/>
          <w:szCs w:val="28"/>
        </w:rPr>
        <w:t>»</w:t>
      </w:r>
      <w:r w:rsidRPr="00465E29">
        <w:rPr>
          <w:sz w:val="28"/>
          <w:szCs w:val="28"/>
        </w:rPr>
        <w:t xml:space="preserve"> </w:t>
      </w:r>
      <w:r w:rsidRPr="0093096A">
        <w:rPr>
          <w:sz w:val="28"/>
          <w:szCs w:val="28"/>
        </w:rPr>
        <w:t>от</w:t>
      </w:r>
      <w:r>
        <w:rPr>
          <w:sz w:val="28"/>
          <w:szCs w:val="28"/>
        </w:rPr>
        <w:t xml:space="preserve"> 30.12.</w:t>
      </w:r>
      <w:r w:rsidRPr="0093096A">
        <w:rPr>
          <w:sz w:val="28"/>
          <w:szCs w:val="28"/>
        </w:rPr>
        <w:t>2019 года №</w:t>
      </w:r>
      <w:r>
        <w:rPr>
          <w:sz w:val="28"/>
          <w:szCs w:val="28"/>
        </w:rPr>
        <w:t xml:space="preserve"> 139</w:t>
      </w:r>
    </w:p>
    <w:p w:rsidR="00E67318" w:rsidRDefault="00E67318" w:rsidP="00E67318">
      <w:pPr>
        <w:pStyle w:val="60"/>
        <w:framePr w:w="16800" w:h="2838" w:hRule="exact" w:wrap="around" w:vAnchor="page" w:hAnchor="page" w:x="20" w:y="1402"/>
        <w:shd w:val="clear" w:color="auto" w:fill="auto"/>
        <w:spacing w:before="0" w:after="0" w:line="240" w:lineRule="exact"/>
        <w:ind w:left="300"/>
      </w:pPr>
      <w:r w:rsidRPr="0093096A">
        <w:rPr>
          <w:sz w:val="28"/>
          <w:szCs w:val="28"/>
        </w:rPr>
        <w:t>Перечень налоговых расходов</w:t>
      </w:r>
      <w:r>
        <w:t xml:space="preserve"> </w:t>
      </w:r>
      <w:r>
        <w:rPr>
          <w:sz w:val="28"/>
          <w:szCs w:val="28"/>
        </w:rPr>
        <w:t>сельского поселения «Черемховское</w:t>
      </w:r>
      <w:r w:rsidRPr="00D327DA">
        <w:rPr>
          <w:sz w:val="28"/>
          <w:szCs w:val="28"/>
        </w:rPr>
        <w:t>»</w:t>
      </w:r>
    </w:p>
    <w:p w:rsidR="00E67318" w:rsidRDefault="00E67318" w:rsidP="00E67318">
      <w:pPr>
        <w:pStyle w:val="a5"/>
        <w:framePr w:wrap="around" w:vAnchor="page" w:hAnchor="page" w:x="6145" w:y="4518"/>
        <w:shd w:val="clear" w:color="auto" w:fill="auto"/>
        <w:spacing w:line="150" w:lineRule="exact"/>
      </w:pPr>
      <w:r>
        <w:t>(на очередной финансовый год и плановый период)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874"/>
        <w:gridCol w:w="1027"/>
        <w:gridCol w:w="1003"/>
        <w:gridCol w:w="859"/>
        <w:gridCol w:w="854"/>
        <w:gridCol w:w="1003"/>
        <w:gridCol w:w="878"/>
        <w:gridCol w:w="874"/>
        <w:gridCol w:w="1027"/>
        <w:gridCol w:w="1027"/>
        <w:gridCol w:w="1171"/>
        <w:gridCol w:w="883"/>
        <w:gridCol w:w="1339"/>
        <w:gridCol w:w="1186"/>
        <w:gridCol w:w="1046"/>
        <w:gridCol w:w="1080"/>
      </w:tblGrid>
      <w:tr w:rsidR="00E67318" w:rsidTr="00997C8C">
        <w:trPr>
          <w:trHeight w:hRule="exact" w:val="33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ind w:left="120"/>
            </w:pPr>
            <w:r>
              <w:rPr>
                <w:rStyle w:val="75pt0pt"/>
              </w:rPr>
              <w:t>№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ind w:left="120"/>
            </w:pPr>
            <w:proofErr w:type="spellStart"/>
            <w:proofErr w:type="gramStart"/>
            <w:r>
              <w:rPr>
                <w:rStyle w:val="75pt0pt"/>
              </w:rPr>
              <w:t>п</w:t>
            </w:r>
            <w:proofErr w:type="spellEnd"/>
            <w:proofErr w:type="gramEnd"/>
            <w:r>
              <w:rPr>
                <w:rStyle w:val="75pt0pt"/>
              </w:rPr>
              <w:t>/</w:t>
            </w:r>
            <w:proofErr w:type="spellStart"/>
            <w:r>
              <w:rPr>
                <w:rStyle w:val="75pt0pt"/>
              </w:rPr>
              <w:t>п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Нормативные характеристики налогового расхода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ind w:right="40"/>
              <w:jc w:val="right"/>
            </w:pPr>
            <w:r>
              <w:rPr>
                <w:rStyle w:val="75pt0pt"/>
              </w:rPr>
              <w:t>Целевые характеристики налогового расхода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Фискальные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Куратор</w:t>
            </w:r>
          </w:p>
        </w:tc>
      </w:tr>
      <w:tr w:rsidR="00E67318" w:rsidTr="00997C8C">
        <w:trPr>
          <w:trHeight w:hRule="exact" w:val="221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характер котики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</w:tr>
      <w:tr w:rsidR="00E67318" w:rsidTr="00997C8C">
        <w:trPr>
          <w:trHeight w:hRule="exact" w:val="139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 расхода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</w:tr>
      <w:tr w:rsidR="00E67318" w:rsidTr="00997C8C">
        <w:trPr>
          <w:trHeight w:hRule="exact" w:val="245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наимено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наимено</w:t>
            </w:r>
            <w:proofErr w:type="spellEnd"/>
            <w:r>
              <w:rPr>
                <w:rStyle w:val="75pt0pt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норматив</w:t>
            </w:r>
            <w:r>
              <w:rPr>
                <w:rStyle w:val="75pt0pt"/>
              </w:rPr>
              <w:softHyphen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катего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условия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дата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дата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целевая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цели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наимено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наименова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единица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принадлеж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фактическая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объем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</w:pPr>
          </w:p>
        </w:tc>
      </w:tr>
      <w:tr w:rsidR="00E67318" w:rsidTr="00997C8C">
        <w:trPr>
          <w:trHeight w:hRule="exact" w:val="197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вание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ние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ный</w:t>
            </w:r>
            <w:proofErr w:type="spellEnd"/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рии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(основа</w:t>
            </w:r>
            <w:r>
              <w:rPr>
                <w:rStyle w:val="75pt0pt"/>
              </w:rPr>
              <w:softHyphen/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начала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прекра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катего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предос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вание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ние</w:t>
            </w:r>
            <w:proofErr w:type="spellEnd"/>
            <w:r>
              <w:rPr>
                <w:rStyle w:val="75pt0pt"/>
              </w:rPr>
              <w:t xml:space="preserve"> целевою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измере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ность</w:t>
            </w:r>
            <w:proofErr w:type="spellEnd"/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численность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правовой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получа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proofErr w:type="gramStart"/>
            <w:r>
              <w:rPr>
                <w:rStyle w:val="75pt0pt"/>
              </w:rPr>
              <w:t>ния</w:t>
            </w:r>
            <w:proofErr w:type="spellEnd"/>
            <w:r>
              <w:rPr>
                <w:rStyle w:val="75pt0pt"/>
              </w:rPr>
              <w:t>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действия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щения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рия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тавления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муници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показателя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ния</w:t>
            </w:r>
            <w:proofErr w:type="spellEnd"/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получателей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 xml:space="preserve">расхода </w:t>
            </w:r>
            <w:proofErr w:type="gramStart"/>
            <w:r>
              <w:rPr>
                <w:rStyle w:val="75pt0pt"/>
              </w:rPr>
              <w:t>за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акт, его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телей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предос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действия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пальной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(индикатора)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целевою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 xml:space="preserve">расхода </w:t>
            </w:r>
            <w:proofErr w:type="gramStart"/>
            <w:r>
              <w:rPr>
                <w:rStyle w:val="75pt0pt"/>
              </w:rPr>
              <w:t>к</w:t>
            </w:r>
            <w:proofErr w:type="gramEnd"/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отчетный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(содержа</w:t>
            </w:r>
            <w:r>
              <w:rPr>
                <w:rStyle w:val="75pt0pt"/>
              </w:rPr>
              <w:softHyphen/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структур</w:t>
            </w:r>
            <w:r>
              <w:rPr>
                <w:rStyle w:val="75pt0pt"/>
              </w:rPr>
              <w:softHyphen/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тавления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программ,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достижения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показа</w:t>
            </w:r>
            <w:r>
              <w:rPr>
                <w:rStyle w:val="75pt0pt"/>
              </w:rPr>
              <w:softHyphen/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группе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 xml:space="preserve">расхода </w:t>
            </w:r>
            <w:proofErr w:type="gramStart"/>
            <w:r>
              <w:rPr>
                <w:rStyle w:val="75pt0pt"/>
              </w:rPr>
              <w:t>за</w:t>
            </w:r>
            <w:proofErr w:type="gramEnd"/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финансо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02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ние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ные</w:t>
            </w:r>
            <w:proofErr w:type="spellEnd"/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налого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ее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целей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теля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 xml:space="preserve">полномочий </w:t>
            </w:r>
            <w:proofErr w:type="gramStart"/>
            <w:r>
              <w:rPr>
                <w:rStyle w:val="75pt0pt"/>
              </w:rPr>
              <w:t>в</w:t>
            </w:r>
            <w:proofErr w:type="gramEnd"/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отчетный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вый год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1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льготы,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единицы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вого</w:t>
            </w:r>
            <w:proofErr w:type="spell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структур</w:t>
            </w:r>
            <w:r>
              <w:rPr>
                <w:rStyle w:val="75pt0pt"/>
              </w:rPr>
              <w:softHyphen/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предостав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</w:t>
            </w:r>
            <w:proofErr w:type="spellStart"/>
            <w:r>
              <w:rPr>
                <w:rStyle w:val="75pt0pt"/>
              </w:rPr>
              <w:t>индика</w:t>
            </w:r>
            <w:proofErr w:type="spellEnd"/>
            <w:r>
              <w:rPr>
                <w:rStyle w:val="75pt0pt"/>
              </w:rPr>
              <w:softHyphen/>
            </w:r>
            <w:proofErr w:type="gramEnd"/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соответствии с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финансовый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(тыс.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освобож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(статья,</w:t>
            </w:r>
            <w:proofErr w:type="gramEnd"/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расхода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ных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ления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тора)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Методикой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год (ед.)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рублей)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02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дения</w:t>
            </w:r>
            <w:proofErr w:type="spellEnd"/>
            <w:r>
              <w:rPr>
                <w:rStyle w:val="75pt0pt"/>
              </w:rPr>
              <w:t xml:space="preserve"> или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часть,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элементов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налогового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распределения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182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иной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пункт,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gramStart"/>
            <w:r>
              <w:rPr>
                <w:rStyle w:val="75pt0pt"/>
              </w:rPr>
              <w:t>(</w:t>
            </w:r>
            <w:proofErr w:type="spellStart"/>
            <w:r>
              <w:rPr>
                <w:rStyle w:val="75pt0pt"/>
              </w:rPr>
              <w:t>непрог</w:t>
            </w:r>
            <w:proofErr w:type="spellEnd"/>
            <w:r>
              <w:rPr>
                <w:rStyle w:val="75pt0pt"/>
              </w:rPr>
              <w:softHyphen/>
            </w:r>
            <w:proofErr w:type="gram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 xml:space="preserve">расхода </w:t>
            </w:r>
            <w:proofErr w:type="gramStart"/>
            <w:r>
              <w:rPr>
                <w:rStyle w:val="75pt0pt"/>
              </w:rPr>
              <w:t>в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дотаций.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26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преферен</w:t>
            </w:r>
            <w:proofErr w:type="spellEnd"/>
            <w:r>
              <w:rPr>
                <w:rStyle w:val="75pt0pt"/>
              </w:rPr>
              <w:softHyphen/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абзац),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r>
              <w:rPr>
                <w:rStyle w:val="75pt0pt"/>
              </w:rPr>
              <w:t>раммного</w:t>
            </w:r>
            <w:proofErr w:type="spellEnd"/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соответствии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утвержденной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458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proofErr w:type="spellStart"/>
            <w:proofErr w:type="gramStart"/>
            <w:r>
              <w:rPr>
                <w:rStyle w:val="75pt0pt"/>
              </w:rPr>
              <w:t>ции</w:t>
            </w:r>
            <w:proofErr w:type="spellEnd"/>
            <w:r>
              <w:rPr>
                <w:rStyle w:val="75pt0pt"/>
              </w:rPr>
              <w:t>)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устанавли</w:t>
            </w:r>
            <w:r>
              <w:rPr>
                <w:rStyle w:val="75pt0pt"/>
              </w:rPr>
              <w:softHyphen/>
              <w:t>вающие налоговые расходы (налоговые льготы, освобож</w:t>
            </w:r>
            <w:r>
              <w:rPr>
                <w:rStyle w:val="75pt0pt"/>
              </w:rPr>
              <w:softHyphen/>
              <w:t>дения и иные преферен</w:t>
            </w:r>
            <w:r>
              <w:rPr>
                <w:rStyle w:val="75pt0pt"/>
              </w:rPr>
              <w:softHyphen/>
              <w:t>ции)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2" w:lineRule="exact"/>
              <w:jc w:val="center"/>
            </w:pPr>
            <w:r>
              <w:rPr>
                <w:rStyle w:val="75pt0pt"/>
              </w:rPr>
              <w:t>направле</w:t>
            </w:r>
            <w:r>
              <w:rPr>
                <w:rStyle w:val="75pt0pt"/>
              </w:rPr>
              <w:softHyphen/>
              <w:t>ния деятель</w:t>
            </w:r>
            <w:r>
              <w:rPr>
                <w:rStyle w:val="75pt0pt"/>
              </w:rPr>
              <w:softHyphen/>
              <w:t>ности), в рамках которой реализу</w:t>
            </w:r>
            <w:r>
              <w:rPr>
                <w:rStyle w:val="75pt0pt"/>
              </w:rPr>
              <w:softHyphen/>
              <w:t>ются цели предостав</w:t>
            </w:r>
            <w:r>
              <w:rPr>
                <w:rStyle w:val="75pt0pt"/>
              </w:rPr>
              <w:softHyphen/>
              <w:t>ления налогового расхода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с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proofErr w:type="spellStart"/>
            <w:r>
              <w:rPr>
                <w:rStyle w:val="75pt0pt"/>
              </w:rPr>
              <w:t>муниципаль</w:t>
            </w:r>
            <w:proofErr w:type="spellEnd"/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ной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программой*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ее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структурных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элементов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proofErr w:type="gramStart"/>
            <w:r>
              <w:rPr>
                <w:rStyle w:val="75pt0pt"/>
              </w:rPr>
              <w:t>(</w:t>
            </w:r>
            <w:proofErr w:type="spellStart"/>
            <w:r>
              <w:rPr>
                <w:rStyle w:val="75pt0pt"/>
              </w:rPr>
              <w:t>негтрограм</w:t>
            </w:r>
            <w:proofErr w:type="spellEnd"/>
            <w:r>
              <w:rPr>
                <w:rStyle w:val="75pt0pt"/>
              </w:rPr>
              <w:t>-</w:t>
            </w:r>
            <w:proofErr w:type="gramEnd"/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много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направления</w:t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деятельно</w:t>
            </w:r>
            <w:r>
              <w:rPr>
                <w:rStyle w:val="75pt0pt"/>
              </w:rPr>
              <w:softHyphen/>
            </w:r>
          </w:p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proofErr w:type="spellStart"/>
            <w:proofErr w:type="gramStart"/>
            <w:r>
              <w:rPr>
                <w:rStyle w:val="75pt0pt"/>
              </w:rPr>
              <w:t>сти</w:t>
            </w:r>
            <w:proofErr w:type="spellEnd"/>
            <w:r>
              <w:rPr>
                <w:rStyle w:val="75pt0pt"/>
              </w:rPr>
              <w:t>)</w:t>
            </w:r>
            <w:proofErr w:type="gramEnd"/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206" w:lineRule="exact"/>
              <w:jc w:val="center"/>
            </w:pPr>
            <w:r>
              <w:rPr>
                <w:rStyle w:val="75pt0pt"/>
              </w:rPr>
              <w:t>постановле</w:t>
            </w:r>
            <w:r>
              <w:rPr>
                <w:rStyle w:val="75pt0pt"/>
              </w:rPr>
              <w:softHyphen/>
              <w:t>нием Правительства Российской Федерации от 22 ноября 2004 года № 670</w:t>
            </w: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  <w:tr w:rsidR="00E67318" w:rsidTr="00997C8C">
        <w:trPr>
          <w:trHeight w:hRule="exact" w:val="21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ind w:left="240"/>
            </w:pPr>
            <w:r>
              <w:rPr>
                <w:rStyle w:val="75pt0pt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pStyle w:val="2"/>
              <w:framePr w:w="16584" w:h="5947" w:wrap="around" w:vAnchor="page" w:hAnchor="page" w:x="25" w:y="4993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75pt0pt"/>
              </w:rPr>
              <w:t>17</w:t>
            </w:r>
          </w:p>
        </w:tc>
      </w:tr>
      <w:tr w:rsidR="00E67318" w:rsidTr="00997C8C">
        <w:trPr>
          <w:trHeight w:hRule="exact" w:val="269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318" w:rsidRDefault="00E67318" w:rsidP="00997C8C">
            <w:pPr>
              <w:framePr w:w="16584" w:h="5947" w:wrap="around" w:vAnchor="page" w:hAnchor="page" w:x="25" w:y="4993"/>
              <w:rPr>
                <w:sz w:val="10"/>
                <w:szCs w:val="10"/>
              </w:rPr>
            </w:pPr>
          </w:p>
        </w:tc>
      </w:tr>
    </w:tbl>
    <w:p w:rsidR="00805875" w:rsidRDefault="00805875"/>
    <w:sectPr w:rsidR="00805875" w:rsidSect="00E673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18"/>
    <w:rsid w:val="00805875"/>
    <w:rsid w:val="00E6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67318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6731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67318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5pt0pt">
    <w:name w:val="Основной текст + 7;5 pt;Полужирный;Интервал 0 pt"/>
    <w:basedOn w:val="a3"/>
    <w:rsid w:val="00E67318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67318"/>
    <w:pPr>
      <w:widowControl w:val="0"/>
      <w:shd w:val="clear" w:color="auto" w:fill="FFFFFF"/>
      <w:spacing w:before="1080" w:after="300" w:line="331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60">
    <w:name w:val="Основной текст (6)"/>
    <w:basedOn w:val="a"/>
    <w:link w:val="6"/>
    <w:rsid w:val="00E67318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a5">
    <w:name w:val="Подпись к таблице"/>
    <w:basedOn w:val="a"/>
    <w:link w:val="a4"/>
    <w:rsid w:val="00E673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cp:lastPrinted>2019-12-30T06:27:00Z</cp:lastPrinted>
  <dcterms:created xsi:type="dcterms:W3CDTF">2019-12-30T06:24:00Z</dcterms:created>
  <dcterms:modified xsi:type="dcterms:W3CDTF">2019-12-30T06:27:00Z</dcterms:modified>
</cp:coreProperties>
</file>